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1BBC" w14:textId="6F396D2F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bookmarkStart w:id="0" w:name="_Hlk152831044"/>
      <w:r w:rsidRPr="001D3AD6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D7D99AC" wp14:editId="3376CA3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69738324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2EE62" w14:textId="77777777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23C025CE" w14:textId="77777777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1D772196" w14:textId="77777777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7E50317C" w14:textId="77777777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UPRAVNI ODJEL ZA DRUŠTVENE DJELATNOSTI</w:t>
      </w:r>
    </w:p>
    <w:p w14:paraId="65875283" w14:textId="77777777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IMOVINU I OPĆE POSLOVE</w:t>
      </w:r>
    </w:p>
    <w:p w14:paraId="13755E29" w14:textId="77777777" w:rsidR="001D3AD6" w:rsidRPr="001D3AD6" w:rsidRDefault="001D3AD6" w:rsidP="001D3AD6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18A9F3F5" w14:textId="77777777" w:rsidR="001D3AD6" w:rsidRPr="001D3AD6" w:rsidRDefault="001D3AD6" w:rsidP="001D3AD6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112-02/23-01/2 </w:t>
      </w:r>
    </w:p>
    <w:p w14:paraId="4B00C629" w14:textId="77777777" w:rsidR="001D3AD6" w:rsidRPr="001D3AD6" w:rsidRDefault="001D3AD6" w:rsidP="001D3A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2103-4-05-23-4</w:t>
      </w:r>
    </w:p>
    <w:p w14:paraId="77BEE9A9" w14:textId="77777777" w:rsidR="001D3AD6" w:rsidRPr="001D3AD6" w:rsidRDefault="001D3AD6" w:rsidP="001D3A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D3AD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Pr="001D3AD6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07.12.2023.</w:t>
      </w:r>
    </w:p>
    <w:p w14:paraId="7216DF45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</w:p>
    <w:p w14:paraId="7280430A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Sukladno članku 19. Zakona o službenicima i namještenicima u lokalnoj i područnoj (regionalnoj) samoupravi („Narodne novine“ broj 86/08, 61/11, 04/18 i 112/19) Povjerenstvo za provedbu natječaja objavljuje</w:t>
      </w:r>
    </w:p>
    <w:p w14:paraId="3D98C2E8" w14:textId="77777777" w:rsidR="001D3AD6" w:rsidRPr="001D3AD6" w:rsidRDefault="001D3AD6" w:rsidP="001D3AD6">
      <w:pPr>
        <w:jc w:val="center"/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OBAVIJESTI I UPUTE</w:t>
      </w:r>
    </w:p>
    <w:p w14:paraId="287A03E4" w14:textId="77777777" w:rsidR="001D3AD6" w:rsidRPr="001D3AD6" w:rsidRDefault="001D3AD6" w:rsidP="001D3AD6">
      <w:pPr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o opisu poslova i podacima o plaći te načinu i području testiranja za radno mjesto  Viši referent – komunalni redar na neodređeno vrijeme</w:t>
      </w:r>
    </w:p>
    <w:p w14:paraId="6BF411D9" w14:textId="77777777" w:rsidR="001D3AD6" w:rsidRPr="001D3AD6" w:rsidRDefault="001D3AD6" w:rsidP="001D3AD6">
      <w:pPr>
        <w:jc w:val="center"/>
        <w:rPr>
          <w:rFonts w:ascii="Calibri" w:eastAsia="Times New Roman" w:hAnsi="Calibri" w:cs="Times New Roman"/>
          <w:kern w:val="0"/>
          <w14:ligatures w14:val="none"/>
        </w:rPr>
      </w:pPr>
    </w:p>
    <w:p w14:paraId="0D5DB1BD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Pročelnica Upravnog odjela za društvene djelatnosti, imovinu i opće poslove raspisala je Javni natječaj za prijam u službu na radno mjesto Višeg referenta – komunalnog redara na neodređeno vrijeme u Upravni odjel za gospodarstvo i komunalni sustav Grada Garešnice, koji je objavljen u  „Narodnim novinama broj 145/2023“ od 06. prosinca 2023. godine</w:t>
      </w:r>
    </w:p>
    <w:p w14:paraId="5E785588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4976333F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Povjerenstvo za provedbu natječaja obavještava kandidate o slijedećem:</w:t>
      </w:r>
    </w:p>
    <w:p w14:paraId="5698E6DB" w14:textId="77777777" w:rsidR="001D3AD6" w:rsidRPr="001D3AD6" w:rsidRDefault="001D3AD6" w:rsidP="001D3AD6">
      <w:pPr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1.</w:t>
      </w: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ab/>
        <w:t>OPIS POSLOVA RADNOG MJESTA</w:t>
      </w:r>
    </w:p>
    <w:p w14:paraId="42DD39C6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Viši referent – komunalni redar</w:t>
      </w:r>
    </w:p>
    <w:p w14:paraId="3BFE2F15" w14:textId="77777777" w:rsidR="001D3AD6" w:rsidRPr="001D3AD6" w:rsidRDefault="001D3AD6" w:rsidP="001D3AD6">
      <w:pPr>
        <w:numPr>
          <w:ilvl w:val="0"/>
          <w:numId w:val="1"/>
        </w:numPr>
        <w:ind w:left="426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Nadzire provođenje odredbi utvrđenih Odlukom o komunalnom redu i propisima komunalnog gospodarstva, nadzire provođenje i drugih odluka Gradskog vijeća vezanih za komunalno gospodarstvo, provodi nadzor nad održavanjem i korištenjem javnih i zelenih površina te uređaja i opreme koji su njihov sastavni dio, surađuje s nadležnim službama u organizaciji i provođenju DDD mjera. Obavlja nadzor na poslovima održavanja cesta u zimskim uvjetima.</w:t>
      </w:r>
    </w:p>
    <w:p w14:paraId="2160FD6A" w14:textId="77777777" w:rsidR="001D3AD6" w:rsidRPr="001D3AD6" w:rsidRDefault="001D3AD6" w:rsidP="001D3AD6">
      <w:pPr>
        <w:numPr>
          <w:ilvl w:val="0"/>
          <w:numId w:val="1"/>
        </w:numPr>
        <w:ind w:left="426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Nadzire provođenje mjera i postupanja s napuštenim i izgubljenim životinjama, nadzire i ovjerava izvršene radove na održavanju javnih površina i javne rasvjete, nadzire rad dimnjačarske službe, u skladu sa svojim ovlastima, izrađuje procjene šteta od elementarnih nepogoda.</w:t>
      </w:r>
    </w:p>
    <w:p w14:paraId="20E69B9C" w14:textId="77777777" w:rsidR="001D3AD6" w:rsidRPr="001D3AD6" w:rsidRDefault="001D3AD6" w:rsidP="001D3AD6">
      <w:pPr>
        <w:numPr>
          <w:ilvl w:val="0"/>
          <w:numId w:val="1"/>
        </w:numPr>
        <w:ind w:left="426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Podnosi zahtjeve za pokretanje prekršajnih postupaka i izdaje prekršajne naloge, te poduzima druge propisane mjere u skladu sa zakonskim ovlastima.</w:t>
      </w:r>
    </w:p>
    <w:p w14:paraId="49EC69D1" w14:textId="77777777" w:rsidR="001D3AD6" w:rsidRPr="001D3AD6" w:rsidRDefault="001D3AD6" w:rsidP="001D3AD6">
      <w:pPr>
        <w:numPr>
          <w:ilvl w:val="0"/>
          <w:numId w:val="1"/>
        </w:numPr>
        <w:ind w:left="426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Vodi upravni postupak i donosi rješenja u predmetima vezanim uz provedbu odredbi Odluke o komunalnom redu i drugih odluka Gradskog vijeća iz područja komunalnog gospodarstva, provodi mjere komunalnog redara vezane za građevinsku inspekciju, provodi mjere komunalnog redara vezano za prometno redarstvo.</w:t>
      </w:r>
    </w:p>
    <w:p w14:paraId="0DA44EF8" w14:textId="77777777" w:rsidR="001D3AD6" w:rsidRPr="001D3AD6" w:rsidRDefault="001D3AD6" w:rsidP="001D3AD6">
      <w:pPr>
        <w:numPr>
          <w:ilvl w:val="0"/>
          <w:numId w:val="1"/>
        </w:numPr>
        <w:ind w:left="426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Obavlja druge poslove po nalogu pročelnika.</w:t>
      </w:r>
    </w:p>
    <w:p w14:paraId="737643FA" w14:textId="77777777" w:rsidR="001D3AD6" w:rsidRPr="001D3AD6" w:rsidRDefault="001D3AD6" w:rsidP="001D3AD6">
      <w:pPr>
        <w:ind w:left="426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B1ABD64" w14:textId="77777777" w:rsidR="001D3AD6" w:rsidRPr="001D3AD6" w:rsidRDefault="001D3AD6" w:rsidP="001D3AD6">
      <w:pPr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2.</w:t>
      </w: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ab/>
        <w:t>PODACI O PLAĆI</w:t>
      </w:r>
    </w:p>
    <w:p w14:paraId="6BE06AA2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Podaci o plaći navedenog radnog mjesta propisani su Odlukom o koeficijentima za obračun plaće službenika i namještenika u Gradskoj upravi Grada Garešnice („Službeni glasnik Grada Garešnice“, broj: 13/22, 8/23 i 11/23) te Odlukom o utvrđivanju osnovice za obračun plaća službenika i namještenika u upravnim tijelima Grada Garešnice („Službeni glasnik Grada Garešnice“ broj: 6/22).</w:t>
      </w:r>
    </w:p>
    <w:p w14:paraId="1B67C9BB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 xml:space="preserve">Slijedom navedenog, a sukladno odredbom članka 8. Zakona o plaćama u lokalnoj i područnoj regionalnoj samoupravi („Narodne novine“, broj: 28/10 i 10/23), plaću radnog mjesta čini umnožak koeficijenta složenosti poslova radnog mjesta  i osnovice za obračun plaće, uvećan za 0,5% za svaku navršenu godinu radnog staža. </w:t>
      </w:r>
    </w:p>
    <w:p w14:paraId="77B2CE97" w14:textId="77777777" w:rsidR="001D3AD6" w:rsidRPr="001D3AD6" w:rsidRDefault="001D3AD6" w:rsidP="001D3AD6">
      <w:pPr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3.</w:t>
      </w: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ab/>
        <w:t>NAČIN PRETHODNE PROVJERE ZNANJA I SPOSOBNOSTI KANDIDATA</w:t>
      </w:r>
    </w:p>
    <w:p w14:paraId="21AC77E2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Prethodna provjera znanja i sposobnosti kandidata za radno mjesto iz natječaja obavit će se putem pisanog testiranja i intervjua.</w:t>
      </w:r>
    </w:p>
    <w:p w14:paraId="707FEAD8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Intervju se provodi samo s kandidatima koji su ostvarili najmanje 50% ukupnog broja bodova na testiranju, što podrazumijeva najmanje 50% bodova iz svakog dijela provjere znanja.</w:t>
      </w:r>
    </w:p>
    <w:p w14:paraId="76616730" w14:textId="77777777" w:rsidR="001D3AD6" w:rsidRPr="001D3AD6" w:rsidRDefault="001D3AD6" w:rsidP="001D3AD6">
      <w:pPr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4.</w:t>
      </w: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ab/>
        <w:t>TESTIRANJE</w:t>
      </w:r>
    </w:p>
    <w:p w14:paraId="11C08D0F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Testiranju mogu pristupiti kandidati čije su prijave potpune, pravodobne te ispunjavaju formalne uvjete iz Natječaja.</w:t>
      </w:r>
    </w:p>
    <w:p w14:paraId="22F02C3A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Grada Garešnice, www.garesnica.eu</w:t>
      </w:r>
    </w:p>
    <w:p w14:paraId="72DD7440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Kandidati koji ne ispunjavaju formalne uvjete iz Natječaja bit će o tome obaviješteni pisanim putem.</w:t>
      </w:r>
    </w:p>
    <w:p w14:paraId="34C1AA85" w14:textId="77777777" w:rsidR="001D3AD6" w:rsidRPr="001D3AD6" w:rsidRDefault="001D3AD6" w:rsidP="001D3AD6">
      <w:pPr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Ako kandidat ne pristupi provjeri, smatrat će se da odustaje/povlači prijavu na javni natječaj.</w:t>
      </w:r>
    </w:p>
    <w:p w14:paraId="04B7801E" w14:textId="77777777" w:rsidR="001D3AD6" w:rsidRPr="001D3AD6" w:rsidRDefault="001D3AD6" w:rsidP="001D3AD6">
      <w:pPr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5.</w:t>
      </w: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ab/>
        <w:t>PODRUČJE IZ KOJEG ĆE SE OBAVLJATI PROVJERA ZNANJA I SPOSOBNOSTI</w:t>
      </w:r>
    </w:p>
    <w:p w14:paraId="0EBAC389" w14:textId="77777777" w:rsidR="001D3AD6" w:rsidRPr="001D3AD6" w:rsidRDefault="001D3AD6" w:rsidP="001D3AD6">
      <w:pPr>
        <w:spacing w:after="0"/>
        <w:ind w:left="705" w:hanging="705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 xml:space="preserve">1. 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Ustav Republike Hrvatske („Narodne novine“, broj 56/90, 135/97, 08/98, 113/00, 124/00, 28/01, 41/01, 55/01, 76/10, 85/10, 05/14);</w:t>
      </w:r>
    </w:p>
    <w:p w14:paraId="2DEC20EF" w14:textId="77777777" w:rsidR="001D3AD6" w:rsidRPr="001D3AD6" w:rsidRDefault="001D3AD6" w:rsidP="001D3AD6">
      <w:pPr>
        <w:spacing w:after="0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2.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Zakon o općem upravnom postupku („Narodne novine“, broj 47/09, 110/21);</w:t>
      </w:r>
    </w:p>
    <w:p w14:paraId="56B83336" w14:textId="77777777" w:rsidR="001D3AD6" w:rsidRPr="001D3AD6" w:rsidRDefault="001D3AD6" w:rsidP="001D3AD6">
      <w:pPr>
        <w:spacing w:after="0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3.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Odluku o komunalnom redu Grada Garešnice (Službeni glasnik Grada Garešnice 2/20)</w:t>
      </w:r>
    </w:p>
    <w:p w14:paraId="739175E8" w14:textId="77777777" w:rsidR="001D3AD6" w:rsidRPr="001D3AD6" w:rsidRDefault="001D3AD6" w:rsidP="001D3AD6">
      <w:pPr>
        <w:spacing w:after="0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 xml:space="preserve">4. 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Zakon o komunalnom gospodarstvu („Narodne novine“, broj 68/18, 110/18, 32/20);</w:t>
      </w:r>
    </w:p>
    <w:p w14:paraId="2E653693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 xml:space="preserve">- 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Poznavanja rada na računalu.</w:t>
      </w:r>
    </w:p>
    <w:p w14:paraId="7BEB7174" w14:textId="77777777" w:rsidR="001D3AD6" w:rsidRPr="001D3AD6" w:rsidRDefault="001D3AD6" w:rsidP="001D3AD6">
      <w:pPr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>6.</w:t>
      </w:r>
      <w:r w:rsidRPr="001D3AD6">
        <w:rPr>
          <w:rFonts w:ascii="Calibri" w:eastAsia="Times New Roman" w:hAnsi="Calibri" w:cs="Times New Roman"/>
          <w:b/>
          <w:bCs/>
          <w:kern w:val="0"/>
          <w14:ligatures w14:val="none"/>
        </w:rPr>
        <w:tab/>
        <w:t>PRAVILA TESTIRANJA</w:t>
      </w:r>
    </w:p>
    <w:p w14:paraId="126C56FF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a)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po dolasku na provjeru znanja od kandidata će biti zatraženo predočenje odgovarajuće identifikacijske isprave radi utvrđivanja identiteta (osobna iskaznica)</w:t>
      </w:r>
    </w:p>
    <w:p w14:paraId="61521ED2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b)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po utvrđivanju identiteta kandidatima će biti podijeljena pitanja po područjima provjere (opći i posebni dio) koja su jednaka za sve</w:t>
      </w:r>
    </w:p>
    <w:p w14:paraId="2675423F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c)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pisana provjera znanja traje 45 minuta</w:t>
      </w:r>
    </w:p>
    <w:p w14:paraId="7B7B2A33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d)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za vrijeme provjere znanja i sposobnosti nije dopušteno:</w:t>
      </w:r>
    </w:p>
    <w:p w14:paraId="3F0ED306" w14:textId="77777777" w:rsidR="001D3AD6" w:rsidRPr="001D3AD6" w:rsidRDefault="001D3AD6" w:rsidP="001D3AD6">
      <w:pPr>
        <w:spacing w:after="0"/>
        <w:ind w:firstLine="709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•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koristiti se bilo kakvom literaturom odnosno bilješkama</w:t>
      </w:r>
    </w:p>
    <w:p w14:paraId="36C2679E" w14:textId="77777777" w:rsidR="001D3AD6" w:rsidRPr="001D3AD6" w:rsidRDefault="001D3AD6" w:rsidP="001D3AD6">
      <w:pPr>
        <w:spacing w:after="0"/>
        <w:ind w:firstLine="709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•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koristiti mobitel ili druga komunikacijska sredstva</w:t>
      </w:r>
    </w:p>
    <w:p w14:paraId="5B0DFB74" w14:textId="77777777" w:rsidR="001D3AD6" w:rsidRPr="001D3AD6" w:rsidRDefault="001D3AD6" w:rsidP="001D3AD6">
      <w:pPr>
        <w:spacing w:after="0"/>
        <w:ind w:firstLine="709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•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napuštati prostoriju u kojoj se provjera odvija</w:t>
      </w:r>
    </w:p>
    <w:p w14:paraId="42746FED" w14:textId="77777777" w:rsidR="001D3AD6" w:rsidRPr="001D3AD6" w:rsidRDefault="001D3AD6" w:rsidP="001D3AD6">
      <w:pPr>
        <w:spacing w:after="0"/>
        <w:ind w:firstLine="709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•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razgovarati ili na bilo koji drugi način ometati ostale kandidate</w:t>
      </w:r>
    </w:p>
    <w:p w14:paraId="07F6A853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>e)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>kandidati koji prekrše pravila iz točke d) bit će udaljeni s provjere znanja, a njegov/njezin rezultat Povjerenstvo neće priznati niti ocjenjivati.</w:t>
      </w:r>
    </w:p>
    <w:p w14:paraId="1CA427BC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609517E2" w14:textId="77777777" w:rsidR="001D3AD6" w:rsidRPr="001D3AD6" w:rsidRDefault="001D3AD6" w:rsidP="001D3AD6">
      <w:pPr>
        <w:spacing w:after="0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52C228F8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  <w:r w:rsidRPr="001D3AD6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</w:t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</w:r>
      <w:r w:rsidRPr="001D3AD6">
        <w:rPr>
          <w:rFonts w:ascii="Calibri" w:eastAsia="Times New Roman" w:hAnsi="Calibri" w:cs="Times New Roman"/>
          <w:kern w:val="0"/>
          <w14:ligatures w14:val="none"/>
        </w:rPr>
        <w:tab/>
        <w:t xml:space="preserve">                    POVJERENSTVO ZA PROVEDBU NATJEČAJA</w:t>
      </w:r>
    </w:p>
    <w:p w14:paraId="7DAA9333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</w:p>
    <w:p w14:paraId="13DDF4F4" w14:textId="77777777" w:rsidR="001D3AD6" w:rsidRPr="001D3AD6" w:rsidRDefault="001D3AD6" w:rsidP="001D3AD6">
      <w:pPr>
        <w:rPr>
          <w:rFonts w:ascii="Calibri" w:eastAsia="Times New Roman" w:hAnsi="Calibri" w:cs="Times New Roman"/>
          <w:kern w:val="0"/>
          <w14:ligatures w14:val="none"/>
        </w:rPr>
      </w:pPr>
    </w:p>
    <w:bookmarkEnd w:id="0"/>
    <w:p w14:paraId="3F94CED7" w14:textId="77777777" w:rsidR="007D4E3A" w:rsidRPr="001D3AD6" w:rsidRDefault="007D4E3A" w:rsidP="001D3AD6"/>
    <w:sectPr w:rsidR="007D4E3A" w:rsidRPr="001D3AD6" w:rsidSect="00995F89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72C"/>
    <w:multiLevelType w:val="hybridMultilevel"/>
    <w:tmpl w:val="FFFFFFFF"/>
    <w:lvl w:ilvl="0" w:tplc="D80284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A"/>
    <w:rsid w:val="001D3AD6"/>
    <w:rsid w:val="002513C6"/>
    <w:rsid w:val="00373308"/>
    <w:rsid w:val="007D4E3A"/>
    <w:rsid w:val="00E4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81C11"/>
  <w15:chartTrackingRefBased/>
  <w15:docId w15:val="{1BD19F04-8282-4B1B-BEF4-D9501959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7D4E3A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D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1D3AD6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Josip Bilandžija</cp:lastModifiedBy>
  <cp:revision>3</cp:revision>
  <dcterms:created xsi:type="dcterms:W3CDTF">2023-12-07T07:41:00Z</dcterms:created>
  <dcterms:modified xsi:type="dcterms:W3CDTF">2023-12-07T10:25:00Z</dcterms:modified>
</cp:coreProperties>
</file>